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4338" w:rsidRPr="006E13C5" w:rsidRDefault="00734338" w:rsidP="006E13C5">
      <w:pPr>
        <w:jc w:val="center"/>
        <w:rPr>
          <w:b/>
          <w:sz w:val="28"/>
          <w:szCs w:val="28"/>
        </w:rPr>
      </w:pPr>
      <w:r>
        <w:rPr>
          <w:b/>
          <w:sz w:val="28"/>
          <w:szCs w:val="28"/>
        </w:rPr>
        <w:t xml:space="preserve">Пояснююча записка до Прогнозу </w:t>
      </w:r>
      <w:r w:rsidRPr="006E13C5">
        <w:rPr>
          <w:b/>
          <w:sz w:val="28"/>
          <w:szCs w:val="28"/>
        </w:rPr>
        <w:t>бюджету</w:t>
      </w:r>
    </w:p>
    <w:p w:rsidR="00734338" w:rsidRPr="006E13C5" w:rsidRDefault="00734338" w:rsidP="006E13C5">
      <w:pPr>
        <w:jc w:val="center"/>
        <w:rPr>
          <w:b/>
          <w:sz w:val="28"/>
          <w:szCs w:val="28"/>
        </w:rPr>
      </w:pPr>
      <w:r w:rsidRPr="006E13C5">
        <w:rPr>
          <w:b/>
          <w:sz w:val="28"/>
          <w:szCs w:val="28"/>
        </w:rPr>
        <w:t xml:space="preserve">Малинської міської територіальної громади на </w:t>
      </w:r>
    </w:p>
    <w:p w:rsidR="00734338" w:rsidRPr="006E13C5" w:rsidRDefault="00734338" w:rsidP="006E13C5">
      <w:pPr>
        <w:jc w:val="center"/>
        <w:rPr>
          <w:b/>
          <w:sz w:val="28"/>
          <w:szCs w:val="28"/>
        </w:rPr>
      </w:pPr>
      <w:r w:rsidRPr="006E13C5">
        <w:rPr>
          <w:b/>
          <w:sz w:val="28"/>
          <w:szCs w:val="28"/>
        </w:rPr>
        <w:t>2026-2028 роки</w:t>
      </w:r>
    </w:p>
    <w:p w:rsidR="00734338" w:rsidRDefault="00734338" w:rsidP="006E13C5">
      <w:pPr>
        <w:jc w:val="right"/>
        <w:rPr>
          <w:sz w:val="28"/>
          <w:szCs w:val="28"/>
        </w:rPr>
      </w:pPr>
    </w:p>
    <w:p w:rsidR="00734338" w:rsidRDefault="00734338" w:rsidP="006E13C5">
      <w:pPr>
        <w:jc w:val="both"/>
        <w:rPr>
          <w:sz w:val="28"/>
          <w:szCs w:val="28"/>
        </w:rPr>
      </w:pPr>
      <w:r>
        <w:rPr>
          <w:sz w:val="28"/>
          <w:szCs w:val="28"/>
        </w:rPr>
        <w:t xml:space="preserve">       Прогноз місцевого бюджету відповідно до частини першої статті 75¹ Бюджетного кодексу України є документом середньострокового бюджетного планування, що визначає показники місцевого бюджету на середньостроковий період і є основною для складання проекту місцевого бюджету.</w:t>
      </w:r>
    </w:p>
    <w:p w:rsidR="00734338" w:rsidRDefault="00734338" w:rsidP="00FC2B20">
      <w:pPr>
        <w:ind w:firstLine="284"/>
        <w:jc w:val="both"/>
        <w:rPr>
          <w:sz w:val="28"/>
          <w:szCs w:val="28"/>
        </w:rPr>
      </w:pPr>
      <w:r>
        <w:rPr>
          <w:sz w:val="28"/>
          <w:szCs w:val="28"/>
        </w:rPr>
        <w:t xml:space="preserve">   В Україні відповідно до Закону України від 18.09.2024 № 3979-ІХ «Про внесення змін до Бюджетного кодексу України щодо відновлення середньострокового бюджетного планування на місцевому рівні та приведення окремих його положень у відповідність із законами України» відновлено середньострокове планування на місцевому рівні.</w:t>
      </w:r>
    </w:p>
    <w:p w:rsidR="00734338" w:rsidRDefault="00734338" w:rsidP="00FC2B20">
      <w:pPr>
        <w:ind w:firstLine="284"/>
        <w:jc w:val="both"/>
        <w:rPr>
          <w:sz w:val="28"/>
          <w:szCs w:val="28"/>
        </w:rPr>
      </w:pPr>
      <w:r>
        <w:rPr>
          <w:sz w:val="28"/>
          <w:szCs w:val="28"/>
        </w:rPr>
        <w:t xml:space="preserve">   Ми пропонуємо схвалити прогнозні цифри до бюджету територіальної громади на перспективу. Бюджет міської територіальної громади на 2026 рік буде плануватись і затверджуватись як завжди в грудні 2025 року після затвердження Державного бюджету на 2026 рік виходячи з фінансових можливостей, з врахуванням економічних та законодавчих показників.</w:t>
      </w:r>
    </w:p>
    <w:p w:rsidR="00734338" w:rsidRDefault="00734338" w:rsidP="00437E24">
      <w:pPr>
        <w:ind w:firstLine="284"/>
        <w:jc w:val="both"/>
        <w:rPr>
          <w:sz w:val="28"/>
          <w:szCs w:val="28"/>
        </w:rPr>
      </w:pPr>
      <w:r>
        <w:rPr>
          <w:sz w:val="28"/>
          <w:szCs w:val="28"/>
        </w:rPr>
        <w:t xml:space="preserve">   Відповідно до розпорядження міського голови від 23.05.2025 № 87 «Про затвердження Плану заходів щодо складання прогнозу бюджету Малинської міської територіальної громади на 2026-2028 роки» складений прогноз бюджету громади по загальному та спеціальному фонду на основі основних показників економічного і соціального розвитку Малинської міської територіальної громади на 2026-2028 роки.</w:t>
      </w:r>
    </w:p>
    <w:p w:rsidR="00734338" w:rsidRPr="00E07B58" w:rsidRDefault="00734338" w:rsidP="00F00BB4">
      <w:pPr>
        <w:autoSpaceDE w:val="0"/>
        <w:autoSpaceDN w:val="0"/>
        <w:adjustRightInd w:val="0"/>
        <w:jc w:val="both"/>
        <w:rPr>
          <w:color w:val="000000"/>
          <w:sz w:val="28"/>
          <w:szCs w:val="28"/>
        </w:rPr>
      </w:pPr>
      <w:r>
        <w:rPr>
          <w:sz w:val="28"/>
          <w:szCs w:val="28"/>
        </w:rPr>
        <w:t xml:space="preserve">      Прогноз бюджету Малинської міської територіальної громади на 2026-2028 роки складений на основні прогнозних </w:t>
      </w:r>
      <w:proofErr w:type="spellStart"/>
      <w:r>
        <w:rPr>
          <w:sz w:val="28"/>
          <w:szCs w:val="28"/>
        </w:rPr>
        <w:t>макропоказників</w:t>
      </w:r>
      <w:proofErr w:type="spellEnd"/>
      <w:r w:rsidRPr="00E07B58">
        <w:rPr>
          <w:sz w:val="28"/>
          <w:szCs w:val="28"/>
        </w:rPr>
        <w:t xml:space="preserve"> економічного і соціал</w:t>
      </w:r>
      <w:r>
        <w:rPr>
          <w:sz w:val="28"/>
          <w:szCs w:val="28"/>
        </w:rPr>
        <w:t>ьного розвитку України та окремих припущень</w:t>
      </w:r>
      <w:r w:rsidRPr="00E07B58">
        <w:rPr>
          <w:sz w:val="28"/>
          <w:szCs w:val="28"/>
        </w:rPr>
        <w:t xml:space="preserve"> на 2026—2028 роки</w:t>
      </w:r>
      <w:r>
        <w:rPr>
          <w:sz w:val="28"/>
          <w:szCs w:val="28"/>
        </w:rPr>
        <w:t>, доведений Міністерством фінансів України.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1605"/>
        <w:gridCol w:w="1662"/>
        <w:gridCol w:w="1538"/>
      </w:tblGrid>
      <w:tr w:rsidR="00734338" w:rsidRPr="007C7E18" w:rsidTr="003A687A">
        <w:tc>
          <w:tcPr>
            <w:tcW w:w="4788" w:type="dxa"/>
          </w:tcPr>
          <w:p w:rsidR="00734338" w:rsidRPr="007C7E18" w:rsidRDefault="00734338" w:rsidP="00F00BB4">
            <w:pPr>
              <w:jc w:val="both"/>
              <w:rPr>
                <w:color w:val="000000"/>
                <w:sz w:val="28"/>
                <w:szCs w:val="28"/>
              </w:rPr>
            </w:pPr>
            <w:r w:rsidRPr="007C7E18">
              <w:rPr>
                <w:color w:val="000000"/>
                <w:sz w:val="28"/>
                <w:szCs w:val="28"/>
              </w:rPr>
              <w:t>Показник</w:t>
            </w:r>
          </w:p>
        </w:tc>
        <w:tc>
          <w:tcPr>
            <w:tcW w:w="1605" w:type="dxa"/>
          </w:tcPr>
          <w:p w:rsidR="00734338" w:rsidRPr="007C7E18" w:rsidRDefault="00734338" w:rsidP="00F00BB4">
            <w:pPr>
              <w:jc w:val="both"/>
              <w:rPr>
                <w:color w:val="000000"/>
                <w:sz w:val="28"/>
                <w:szCs w:val="28"/>
              </w:rPr>
            </w:pPr>
            <w:r w:rsidRPr="007C7E18">
              <w:rPr>
                <w:color w:val="000000"/>
                <w:sz w:val="28"/>
                <w:szCs w:val="28"/>
              </w:rPr>
              <w:t>2026</w:t>
            </w:r>
          </w:p>
        </w:tc>
        <w:tc>
          <w:tcPr>
            <w:tcW w:w="1662" w:type="dxa"/>
          </w:tcPr>
          <w:p w:rsidR="00734338" w:rsidRPr="007C7E18" w:rsidRDefault="00734338" w:rsidP="00F00BB4">
            <w:pPr>
              <w:jc w:val="both"/>
              <w:rPr>
                <w:color w:val="000000"/>
                <w:sz w:val="28"/>
                <w:szCs w:val="28"/>
              </w:rPr>
            </w:pPr>
            <w:r w:rsidRPr="007C7E18">
              <w:rPr>
                <w:color w:val="000000"/>
                <w:sz w:val="28"/>
                <w:szCs w:val="28"/>
              </w:rPr>
              <w:t>2027</w:t>
            </w:r>
          </w:p>
        </w:tc>
        <w:tc>
          <w:tcPr>
            <w:tcW w:w="1538" w:type="dxa"/>
          </w:tcPr>
          <w:p w:rsidR="00734338" w:rsidRPr="007C7E18" w:rsidRDefault="00734338" w:rsidP="00F00BB4">
            <w:pPr>
              <w:jc w:val="both"/>
              <w:rPr>
                <w:color w:val="000000"/>
                <w:sz w:val="28"/>
                <w:szCs w:val="28"/>
              </w:rPr>
            </w:pPr>
            <w:r w:rsidRPr="007C7E18">
              <w:rPr>
                <w:color w:val="000000"/>
                <w:sz w:val="28"/>
                <w:szCs w:val="28"/>
              </w:rPr>
              <w:t>2028</w:t>
            </w:r>
          </w:p>
        </w:tc>
      </w:tr>
      <w:tr w:rsidR="00734338" w:rsidRPr="007C7E18" w:rsidTr="003A687A">
        <w:tc>
          <w:tcPr>
            <w:tcW w:w="4788" w:type="dxa"/>
          </w:tcPr>
          <w:p w:rsidR="00734338" w:rsidRPr="007C7E18" w:rsidRDefault="00734338" w:rsidP="00F00BB4">
            <w:pPr>
              <w:jc w:val="both"/>
              <w:rPr>
                <w:color w:val="000000"/>
                <w:sz w:val="28"/>
                <w:szCs w:val="28"/>
              </w:rPr>
            </w:pPr>
            <w:r w:rsidRPr="007C7E18">
              <w:rPr>
                <w:color w:val="000000"/>
                <w:sz w:val="28"/>
                <w:szCs w:val="28"/>
              </w:rPr>
              <w:t>темп зростання реального внутрішнього продукту в цілому по країні</w:t>
            </w:r>
          </w:p>
        </w:tc>
        <w:tc>
          <w:tcPr>
            <w:tcW w:w="1605" w:type="dxa"/>
          </w:tcPr>
          <w:p w:rsidR="00734338" w:rsidRPr="007C7E18" w:rsidRDefault="00734338" w:rsidP="00F00BB4">
            <w:pPr>
              <w:jc w:val="both"/>
              <w:rPr>
                <w:color w:val="000000"/>
                <w:sz w:val="28"/>
                <w:szCs w:val="28"/>
              </w:rPr>
            </w:pPr>
            <w:r w:rsidRPr="007C7E18">
              <w:rPr>
                <w:color w:val="000000"/>
                <w:sz w:val="28"/>
                <w:szCs w:val="28"/>
              </w:rPr>
              <w:t>+ 4,5</w:t>
            </w:r>
          </w:p>
        </w:tc>
        <w:tc>
          <w:tcPr>
            <w:tcW w:w="1662" w:type="dxa"/>
          </w:tcPr>
          <w:p w:rsidR="00734338" w:rsidRPr="007C7E18" w:rsidRDefault="00734338" w:rsidP="00F00BB4">
            <w:pPr>
              <w:jc w:val="both"/>
              <w:rPr>
                <w:color w:val="000000"/>
                <w:sz w:val="28"/>
                <w:szCs w:val="28"/>
              </w:rPr>
            </w:pPr>
            <w:r w:rsidRPr="007C7E18">
              <w:rPr>
                <w:color w:val="000000"/>
                <w:sz w:val="28"/>
                <w:szCs w:val="28"/>
              </w:rPr>
              <w:t>+5</w:t>
            </w:r>
          </w:p>
        </w:tc>
        <w:tc>
          <w:tcPr>
            <w:tcW w:w="1538" w:type="dxa"/>
          </w:tcPr>
          <w:p w:rsidR="00734338" w:rsidRPr="007C7E18" w:rsidRDefault="00734338" w:rsidP="00F00BB4">
            <w:pPr>
              <w:jc w:val="both"/>
              <w:rPr>
                <w:color w:val="000000"/>
                <w:sz w:val="28"/>
                <w:szCs w:val="28"/>
              </w:rPr>
            </w:pPr>
            <w:r w:rsidRPr="007C7E18">
              <w:rPr>
                <w:color w:val="000000"/>
                <w:sz w:val="28"/>
                <w:szCs w:val="28"/>
              </w:rPr>
              <w:t>+5,7</w:t>
            </w:r>
          </w:p>
        </w:tc>
      </w:tr>
      <w:tr w:rsidR="00734338" w:rsidRPr="007C7E18" w:rsidTr="003A687A">
        <w:tc>
          <w:tcPr>
            <w:tcW w:w="4788" w:type="dxa"/>
          </w:tcPr>
          <w:p w:rsidR="00734338" w:rsidRPr="007C7E18" w:rsidRDefault="00734338" w:rsidP="00F00BB4">
            <w:pPr>
              <w:jc w:val="both"/>
              <w:rPr>
                <w:color w:val="000000"/>
                <w:sz w:val="28"/>
                <w:szCs w:val="28"/>
              </w:rPr>
            </w:pPr>
            <w:r w:rsidRPr="007C7E18">
              <w:rPr>
                <w:color w:val="000000"/>
                <w:sz w:val="28"/>
                <w:szCs w:val="28"/>
              </w:rPr>
              <w:t>індекс споживчих цін (грудень до грудня попереднього року)</w:t>
            </w:r>
          </w:p>
        </w:tc>
        <w:tc>
          <w:tcPr>
            <w:tcW w:w="1605" w:type="dxa"/>
          </w:tcPr>
          <w:p w:rsidR="00734338" w:rsidRPr="007C7E18" w:rsidRDefault="00734338" w:rsidP="00F00BB4">
            <w:pPr>
              <w:jc w:val="both"/>
              <w:rPr>
                <w:color w:val="000000"/>
                <w:sz w:val="28"/>
                <w:szCs w:val="28"/>
              </w:rPr>
            </w:pPr>
            <w:r w:rsidRPr="007C7E18">
              <w:rPr>
                <w:color w:val="000000"/>
                <w:sz w:val="28"/>
                <w:szCs w:val="28"/>
              </w:rPr>
              <w:t>108,6</w:t>
            </w:r>
          </w:p>
        </w:tc>
        <w:tc>
          <w:tcPr>
            <w:tcW w:w="1662" w:type="dxa"/>
          </w:tcPr>
          <w:p w:rsidR="00734338" w:rsidRPr="007C7E18" w:rsidRDefault="00734338" w:rsidP="00F00BB4">
            <w:pPr>
              <w:jc w:val="both"/>
              <w:rPr>
                <w:color w:val="000000"/>
                <w:sz w:val="28"/>
                <w:szCs w:val="28"/>
              </w:rPr>
            </w:pPr>
            <w:r w:rsidRPr="007C7E18">
              <w:rPr>
                <w:color w:val="000000"/>
                <w:sz w:val="28"/>
                <w:szCs w:val="28"/>
              </w:rPr>
              <w:t>105,9</w:t>
            </w:r>
          </w:p>
        </w:tc>
        <w:tc>
          <w:tcPr>
            <w:tcW w:w="1538" w:type="dxa"/>
          </w:tcPr>
          <w:p w:rsidR="00734338" w:rsidRPr="007C7E18" w:rsidRDefault="00734338" w:rsidP="00F00BB4">
            <w:pPr>
              <w:jc w:val="both"/>
              <w:rPr>
                <w:color w:val="000000"/>
                <w:sz w:val="28"/>
                <w:szCs w:val="28"/>
              </w:rPr>
            </w:pPr>
            <w:r w:rsidRPr="007C7E18">
              <w:rPr>
                <w:color w:val="000000"/>
                <w:sz w:val="28"/>
                <w:szCs w:val="28"/>
              </w:rPr>
              <w:t>105,3</w:t>
            </w:r>
          </w:p>
        </w:tc>
      </w:tr>
      <w:tr w:rsidR="00734338" w:rsidRPr="007C7E18" w:rsidTr="003A687A">
        <w:tc>
          <w:tcPr>
            <w:tcW w:w="4788" w:type="dxa"/>
          </w:tcPr>
          <w:p w:rsidR="00734338" w:rsidRPr="007C7E18" w:rsidRDefault="00734338" w:rsidP="00F00BB4">
            <w:pPr>
              <w:jc w:val="both"/>
              <w:rPr>
                <w:color w:val="000000"/>
                <w:sz w:val="28"/>
                <w:szCs w:val="28"/>
              </w:rPr>
            </w:pPr>
            <w:r w:rsidRPr="007C7E18">
              <w:rPr>
                <w:color w:val="000000"/>
                <w:sz w:val="28"/>
                <w:szCs w:val="28"/>
              </w:rPr>
              <w:t xml:space="preserve">рівень безробіття населення у віці 15-70 років </w:t>
            </w:r>
          </w:p>
        </w:tc>
        <w:tc>
          <w:tcPr>
            <w:tcW w:w="1605" w:type="dxa"/>
          </w:tcPr>
          <w:p w:rsidR="00734338" w:rsidRPr="007C7E18" w:rsidRDefault="00734338" w:rsidP="00F00BB4">
            <w:pPr>
              <w:jc w:val="both"/>
              <w:rPr>
                <w:color w:val="000000"/>
                <w:sz w:val="28"/>
                <w:szCs w:val="28"/>
              </w:rPr>
            </w:pPr>
            <w:r w:rsidRPr="007C7E18">
              <w:rPr>
                <w:color w:val="000000"/>
                <w:sz w:val="28"/>
                <w:szCs w:val="28"/>
              </w:rPr>
              <w:t>12,9</w:t>
            </w:r>
          </w:p>
        </w:tc>
        <w:tc>
          <w:tcPr>
            <w:tcW w:w="1662" w:type="dxa"/>
          </w:tcPr>
          <w:p w:rsidR="00734338" w:rsidRPr="007C7E18" w:rsidRDefault="00734338" w:rsidP="00F00BB4">
            <w:pPr>
              <w:jc w:val="both"/>
              <w:rPr>
                <w:color w:val="000000"/>
                <w:sz w:val="28"/>
                <w:szCs w:val="28"/>
              </w:rPr>
            </w:pPr>
            <w:r w:rsidRPr="007C7E18">
              <w:rPr>
                <w:color w:val="000000"/>
                <w:sz w:val="28"/>
                <w:szCs w:val="28"/>
              </w:rPr>
              <w:t>13,3</w:t>
            </w:r>
          </w:p>
        </w:tc>
        <w:tc>
          <w:tcPr>
            <w:tcW w:w="1538" w:type="dxa"/>
          </w:tcPr>
          <w:p w:rsidR="00734338" w:rsidRPr="007C7E18" w:rsidRDefault="00734338" w:rsidP="00F00BB4">
            <w:pPr>
              <w:jc w:val="both"/>
              <w:rPr>
                <w:color w:val="000000"/>
                <w:sz w:val="28"/>
                <w:szCs w:val="28"/>
              </w:rPr>
            </w:pPr>
            <w:r w:rsidRPr="007C7E18">
              <w:rPr>
                <w:color w:val="000000"/>
                <w:sz w:val="28"/>
                <w:szCs w:val="28"/>
              </w:rPr>
              <w:t>12,8</w:t>
            </w:r>
          </w:p>
        </w:tc>
      </w:tr>
      <w:tr w:rsidR="00734338" w:rsidRPr="007C7E18" w:rsidTr="003A687A">
        <w:tc>
          <w:tcPr>
            <w:tcW w:w="4788" w:type="dxa"/>
          </w:tcPr>
          <w:p w:rsidR="00734338" w:rsidRPr="007C7E18" w:rsidRDefault="00734338" w:rsidP="00F00BB4">
            <w:pPr>
              <w:jc w:val="both"/>
              <w:rPr>
                <w:color w:val="000000"/>
                <w:sz w:val="28"/>
                <w:szCs w:val="28"/>
              </w:rPr>
            </w:pPr>
            <w:r>
              <w:rPr>
                <w:color w:val="000000"/>
                <w:sz w:val="28"/>
                <w:szCs w:val="28"/>
              </w:rPr>
              <w:t>Мінімальна заробітна плата, грн</w:t>
            </w:r>
          </w:p>
        </w:tc>
        <w:tc>
          <w:tcPr>
            <w:tcW w:w="1605" w:type="dxa"/>
          </w:tcPr>
          <w:p w:rsidR="00734338" w:rsidRPr="007C7E18" w:rsidRDefault="00734338" w:rsidP="00F00BB4">
            <w:pPr>
              <w:jc w:val="both"/>
              <w:rPr>
                <w:color w:val="000000"/>
                <w:sz w:val="28"/>
                <w:szCs w:val="28"/>
              </w:rPr>
            </w:pPr>
            <w:r>
              <w:rPr>
                <w:color w:val="000000"/>
                <w:sz w:val="28"/>
                <w:szCs w:val="28"/>
              </w:rPr>
              <w:t>8688</w:t>
            </w:r>
          </w:p>
        </w:tc>
        <w:tc>
          <w:tcPr>
            <w:tcW w:w="1662" w:type="dxa"/>
          </w:tcPr>
          <w:p w:rsidR="00734338" w:rsidRPr="007C7E18" w:rsidRDefault="00734338" w:rsidP="00F00BB4">
            <w:pPr>
              <w:jc w:val="both"/>
              <w:rPr>
                <w:color w:val="000000"/>
                <w:sz w:val="28"/>
                <w:szCs w:val="28"/>
              </w:rPr>
            </w:pPr>
            <w:r>
              <w:rPr>
                <w:color w:val="000000"/>
                <w:sz w:val="28"/>
                <w:szCs w:val="28"/>
              </w:rPr>
              <w:t>9374</w:t>
            </w:r>
          </w:p>
        </w:tc>
        <w:tc>
          <w:tcPr>
            <w:tcW w:w="1538" w:type="dxa"/>
          </w:tcPr>
          <w:p w:rsidR="00734338" w:rsidRPr="007C7E18" w:rsidRDefault="00734338" w:rsidP="00F00BB4">
            <w:pPr>
              <w:jc w:val="both"/>
              <w:rPr>
                <w:color w:val="000000"/>
                <w:sz w:val="28"/>
                <w:szCs w:val="28"/>
              </w:rPr>
            </w:pPr>
            <w:r>
              <w:rPr>
                <w:color w:val="000000"/>
                <w:sz w:val="28"/>
                <w:szCs w:val="28"/>
              </w:rPr>
              <w:t>10059</w:t>
            </w:r>
          </w:p>
        </w:tc>
      </w:tr>
    </w:tbl>
    <w:p w:rsidR="00734338" w:rsidRDefault="00734338" w:rsidP="00F00BB4">
      <w:pPr>
        <w:ind w:firstLine="540"/>
        <w:jc w:val="both"/>
        <w:rPr>
          <w:b/>
          <w:bCs/>
          <w:color w:val="000000"/>
          <w:sz w:val="28"/>
          <w:szCs w:val="28"/>
          <w:u w:val="single"/>
        </w:rPr>
      </w:pPr>
    </w:p>
    <w:p w:rsidR="00734338" w:rsidRPr="0019225B" w:rsidRDefault="00734338" w:rsidP="0019225B">
      <w:pPr>
        <w:pStyle w:val="a8"/>
        <w:ind w:left="0"/>
        <w:jc w:val="both"/>
        <w:rPr>
          <w:bCs/>
          <w:color w:val="000000"/>
          <w:sz w:val="28"/>
          <w:szCs w:val="28"/>
        </w:rPr>
      </w:pPr>
      <w:r>
        <w:rPr>
          <w:b/>
          <w:bCs/>
          <w:color w:val="000000"/>
          <w:sz w:val="28"/>
          <w:szCs w:val="28"/>
        </w:rPr>
        <w:t xml:space="preserve">      </w:t>
      </w:r>
      <w:r w:rsidRPr="0019225B">
        <w:rPr>
          <w:bCs/>
          <w:color w:val="000000"/>
          <w:sz w:val="28"/>
          <w:szCs w:val="28"/>
        </w:rPr>
        <w:t>Прогноз здійснений з дотриманням вимог Бюджетного, Податкового кодексів України, інших нормативно-правових актів, що регулюють бюджетні відносини.</w:t>
      </w:r>
    </w:p>
    <w:p w:rsidR="00734338" w:rsidRDefault="00734338" w:rsidP="00F00BB4">
      <w:pPr>
        <w:jc w:val="both"/>
        <w:rPr>
          <w:color w:val="000000"/>
          <w:sz w:val="28"/>
          <w:szCs w:val="28"/>
        </w:rPr>
      </w:pPr>
      <w:r>
        <w:rPr>
          <w:color w:val="000000"/>
          <w:sz w:val="28"/>
          <w:szCs w:val="28"/>
        </w:rPr>
        <w:t xml:space="preserve">      Прогнозовані показники доходів бюджету громади на середньостроковий період враховують наступні особливості:</w:t>
      </w:r>
    </w:p>
    <w:p w:rsidR="00734338" w:rsidRDefault="00734338" w:rsidP="00F00BB4">
      <w:pPr>
        <w:jc w:val="both"/>
        <w:rPr>
          <w:color w:val="000000"/>
          <w:sz w:val="28"/>
          <w:szCs w:val="28"/>
        </w:rPr>
      </w:pPr>
      <w:r>
        <w:rPr>
          <w:color w:val="000000"/>
          <w:sz w:val="28"/>
          <w:szCs w:val="28"/>
        </w:rPr>
        <w:t xml:space="preserve">      зупинення тимчасового спрямування до загального фонду бюджету громади податку на доходи фізичних осіб у розмірі 4 відсотка за рахунок відповідного зниження нормативу відрахування такого податку до загального фонду державного бюджету;</w:t>
      </w:r>
    </w:p>
    <w:p w:rsidR="00734338" w:rsidRDefault="00734338" w:rsidP="00F00BB4">
      <w:pPr>
        <w:jc w:val="both"/>
        <w:rPr>
          <w:color w:val="000000"/>
          <w:sz w:val="28"/>
          <w:szCs w:val="28"/>
        </w:rPr>
      </w:pPr>
      <w:r>
        <w:rPr>
          <w:color w:val="000000"/>
          <w:sz w:val="28"/>
          <w:szCs w:val="28"/>
        </w:rPr>
        <w:lastRenderedPageBreak/>
        <w:t xml:space="preserve">      спрямування, починаючи з 2027 року, податку на доходи фізичних осіб з грошового забезпечення військовослужбовців, що сплачується  (перераховується) згідно з Податковим кодексом України;</w:t>
      </w:r>
    </w:p>
    <w:p w:rsidR="00734338" w:rsidRDefault="00734338" w:rsidP="00F00BB4">
      <w:pPr>
        <w:jc w:val="both"/>
        <w:rPr>
          <w:color w:val="000000"/>
          <w:sz w:val="28"/>
          <w:szCs w:val="28"/>
        </w:rPr>
      </w:pPr>
      <w:r>
        <w:rPr>
          <w:color w:val="000000"/>
          <w:sz w:val="28"/>
          <w:szCs w:val="28"/>
        </w:rPr>
        <w:t xml:space="preserve">       зарахування 13,44 відсотка акцизного податку з пального до бюджетів територіальних громад;</w:t>
      </w:r>
    </w:p>
    <w:p w:rsidR="00734338" w:rsidRDefault="00734338" w:rsidP="00F00BB4">
      <w:pPr>
        <w:jc w:val="both"/>
        <w:rPr>
          <w:color w:val="000000"/>
          <w:sz w:val="28"/>
          <w:szCs w:val="28"/>
        </w:rPr>
      </w:pPr>
      <w:r>
        <w:rPr>
          <w:color w:val="000000"/>
          <w:sz w:val="28"/>
          <w:szCs w:val="28"/>
        </w:rPr>
        <w:t xml:space="preserve">       зарахування 5 відсотків рентної плати за користування надрами для видобування корисних копалин загальнодержавного значення до місцевих бюджетів за місцем видобутку корисних копалин.</w:t>
      </w:r>
    </w:p>
    <w:p w:rsidR="00734338" w:rsidRDefault="00734338" w:rsidP="00F00BB4">
      <w:pPr>
        <w:ind w:firstLine="567"/>
        <w:jc w:val="both"/>
        <w:rPr>
          <w:sz w:val="28"/>
          <w:szCs w:val="28"/>
        </w:rPr>
      </w:pPr>
      <w:r>
        <w:rPr>
          <w:sz w:val="28"/>
          <w:szCs w:val="28"/>
        </w:rPr>
        <w:t>У цілому прогноз фінансового ресурсу бюджету Малинської міської територіальної громади становить:</w:t>
      </w:r>
    </w:p>
    <w:p w:rsidR="00734338" w:rsidRDefault="00734338" w:rsidP="00F00BB4">
      <w:pPr>
        <w:ind w:firstLine="567"/>
        <w:jc w:val="both"/>
        <w:rPr>
          <w:sz w:val="28"/>
          <w:szCs w:val="28"/>
        </w:rPr>
      </w:pPr>
      <w:r>
        <w:rPr>
          <w:sz w:val="28"/>
          <w:szCs w:val="28"/>
        </w:rPr>
        <w:t>у 2026 році - 515 029 576 грн, в тому числі загальний фонд -  506 870 295 грн, спеціальний фонд - 8 159 281 грн;</w:t>
      </w:r>
    </w:p>
    <w:p w:rsidR="00734338" w:rsidRDefault="00734338" w:rsidP="00F00BB4">
      <w:pPr>
        <w:ind w:firstLine="567"/>
        <w:jc w:val="both"/>
        <w:rPr>
          <w:sz w:val="28"/>
          <w:szCs w:val="28"/>
        </w:rPr>
      </w:pPr>
      <w:r>
        <w:rPr>
          <w:sz w:val="28"/>
          <w:szCs w:val="28"/>
        </w:rPr>
        <w:t xml:space="preserve">у 2027 році -  537 521 521 грн, в тому числі загальний фонд - 531 252 174 грн, спеціальний фонд - 6 269 347 грн; </w:t>
      </w:r>
    </w:p>
    <w:p w:rsidR="00734338" w:rsidRDefault="00734338" w:rsidP="00F00BB4">
      <w:pPr>
        <w:ind w:firstLine="567"/>
        <w:jc w:val="both"/>
        <w:rPr>
          <w:sz w:val="28"/>
          <w:szCs w:val="28"/>
        </w:rPr>
      </w:pPr>
      <w:r>
        <w:rPr>
          <w:sz w:val="28"/>
          <w:szCs w:val="28"/>
        </w:rPr>
        <w:t>у 2028 році -  578 351 967 грн, в тому числі загальний фонд – 571 793 788 грн, спеціальний фонд - 6 558 179 грн.</w:t>
      </w:r>
    </w:p>
    <w:p w:rsidR="00734338" w:rsidRDefault="00734338" w:rsidP="00F00BB4">
      <w:pPr>
        <w:ind w:firstLine="567"/>
        <w:jc w:val="both"/>
        <w:rPr>
          <w:sz w:val="28"/>
          <w:szCs w:val="28"/>
        </w:rPr>
      </w:pPr>
      <w:r>
        <w:rPr>
          <w:sz w:val="28"/>
          <w:szCs w:val="28"/>
        </w:rPr>
        <w:t>З них обсяг міжбюджетних трансфертів, що надаються з державного бюджету передбачено:</w:t>
      </w:r>
    </w:p>
    <w:p w:rsidR="00734338" w:rsidRDefault="00734338" w:rsidP="00F00BB4">
      <w:pPr>
        <w:ind w:firstLine="567"/>
        <w:jc w:val="both"/>
        <w:rPr>
          <w:sz w:val="28"/>
          <w:szCs w:val="28"/>
        </w:rPr>
      </w:pPr>
      <w:r>
        <w:rPr>
          <w:sz w:val="28"/>
          <w:szCs w:val="28"/>
        </w:rPr>
        <w:t xml:space="preserve">на 2026 рік - 127 196 400 грн, у тому числі дотація - 1 837 300 грн, субвенція - </w:t>
      </w:r>
    </w:p>
    <w:p w:rsidR="00734338" w:rsidRDefault="00734338" w:rsidP="00BF6922">
      <w:pPr>
        <w:jc w:val="both"/>
        <w:rPr>
          <w:sz w:val="28"/>
          <w:szCs w:val="28"/>
        </w:rPr>
      </w:pPr>
      <w:r>
        <w:rPr>
          <w:sz w:val="28"/>
          <w:szCs w:val="28"/>
        </w:rPr>
        <w:t>125 359 100 грн;</w:t>
      </w:r>
    </w:p>
    <w:p w:rsidR="00734338" w:rsidRDefault="00734338" w:rsidP="002D226B">
      <w:pPr>
        <w:ind w:firstLine="567"/>
        <w:jc w:val="both"/>
        <w:rPr>
          <w:sz w:val="28"/>
          <w:szCs w:val="28"/>
        </w:rPr>
      </w:pPr>
      <w:r>
        <w:rPr>
          <w:sz w:val="28"/>
          <w:szCs w:val="28"/>
        </w:rPr>
        <w:t xml:space="preserve"> на 2027 рік – 135 257 800 грн, у тому числі  субвенція – 135 257 800 грн;</w:t>
      </w:r>
    </w:p>
    <w:p w:rsidR="00734338" w:rsidRDefault="00734338" w:rsidP="00BF6922">
      <w:pPr>
        <w:ind w:firstLine="567"/>
        <w:jc w:val="both"/>
        <w:rPr>
          <w:sz w:val="28"/>
          <w:szCs w:val="28"/>
        </w:rPr>
      </w:pPr>
      <w:r>
        <w:rPr>
          <w:sz w:val="28"/>
          <w:szCs w:val="28"/>
        </w:rPr>
        <w:t xml:space="preserve"> на 2028 рік – 160 167 500 грн, у тому числі дотація – 15 011 000 грн, субвенція – 145 156 500 грн.</w:t>
      </w:r>
    </w:p>
    <w:p w:rsidR="00734338" w:rsidRDefault="00734338" w:rsidP="00F00BB4">
      <w:pPr>
        <w:ind w:firstLine="567"/>
        <w:jc w:val="both"/>
        <w:rPr>
          <w:sz w:val="28"/>
          <w:szCs w:val="28"/>
        </w:rPr>
      </w:pPr>
      <w:r>
        <w:rPr>
          <w:sz w:val="28"/>
          <w:szCs w:val="28"/>
        </w:rPr>
        <w:t xml:space="preserve">Обсяг міжбюджетних трансфертів, що надаються з місцевих бюджетів передбачено на 2026 рік – 2 269 595 грн, на 2027 рік – 2 445 174 грн, на 2028 рік – 2 622 188 грн.     </w:t>
      </w:r>
    </w:p>
    <w:p w:rsidR="00734338" w:rsidRPr="00D11D6A" w:rsidRDefault="00734338" w:rsidP="00D751C5">
      <w:pPr>
        <w:tabs>
          <w:tab w:val="left" w:pos="567"/>
        </w:tabs>
        <w:suppressAutoHyphens/>
        <w:autoSpaceDE w:val="0"/>
        <w:autoSpaceDN w:val="0"/>
        <w:adjustRightInd w:val="0"/>
        <w:ind w:firstLine="284"/>
        <w:jc w:val="both"/>
        <w:rPr>
          <w:sz w:val="28"/>
          <w:szCs w:val="28"/>
        </w:rPr>
      </w:pPr>
      <w:r w:rsidRPr="00D11D6A">
        <w:rPr>
          <w:sz w:val="28"/>
          <w:szCs w:val="28"/>
        </w:rPr>
        <w:t xml:space="preserve">   Прогнозні показники видатків бюджету Малинської міської територіальної громади на 2026-2028 роки розроблено на основі показників дохідної частини бюджету територіальної громади. В першу чергу в них враховані вимоги статті 77 Бюджетного кодексу України щодо забезпечення в першочерговому порядку потреби в коштах на оплату праці працівників бюджетних установ, на проведення розрахунків за електричну енергію, водопостачання, водовідведення, природний газ та послуги зв</w:t>
      </w:r>
      <w:r w:rsidR="00CD45EC">
        <w:rPr>
          <w:sz w:val="28"/>
          <w:szCs w:val="28"/>
        </w:rPr>
        <w:t>’</w:t>
      </w:r>
      <w:r w:rsidRPr="00D11D6A">
        <w:rPr>
          <w:sz w:val="28"/>
          <w:szCs w:val="28"/>
        </w:rPr>
        <w:t>язку, які споживаються бюджетними установами.</w:t>
      </w:r>
    </w:p>
    <w:p w:rsidR="00734338" w:rsidRPr="00D11D6A" w:rsidRDefault="00734338" w:rsidP="00D751C5">
      <w:pPr>
        <w:tabs>
          <w:tab w:val="left" w:pos="567"/>
        </w:tabs>
        <w:suppressAutoHyphens/>
        <w:autoSpaceDE w:val="0"/>
        <w:autoSpaceDN w:val="0"/>
        <w:adjustRightInd w:val="0"/>
        <w:jc w:val="both"/>
        <w:rPr>
          <w:sz w:val="28"/>
          <w:szCs w:val="28"/>
        </w:rPr>
      </w:pPr>
      <w:r w:rsidRPr="00D11D6A">
        <w:rPr>
          <w:sz w:val="28"/>
          <w:szCs w:val="28"/>
        </w:rPr>
        <w:tab/>
        <w:t>Також враховані обсяги видатків, необхідні для забезпечення стабільної роботи установ та закладів соціально-культурної сфери з урахуванням гендерного аналізу за окремими бюджетними програмами, надання встановлених власних соціальних гарантій для малозабезпечених категорій громадян,</w:t>
      </w:r>
      <w:r w:rsidR="00CD45EC">
        <w:rPr>
          <w:sz w:val="28"/>
          <w:szCs w:val="28"/>
        </w:rPr>
        <w:t xml:space="preserve"> підтримку в належному стані об’</w:t>
      </w:r>
      <w:r w:rsidRPr="00D11D6A">
        <w:rPr>
          <w:sz w:val="28"/>
          <w:szCs w:val="28"/>
        </w:rPr>
        <w:t>єктів житлово-комунального господарства, інших об’єктів інфраструктури громади,  впровадження заходів з енергозбереження, а також виконання в межах фінансових можливостей місцевих програм.</w:t>
      </w:r>
    </w:p>
    <w:p w:rsidR="00680D29" w:rsidRDefault="00734338" w:rsidP="00CD45EC">
      <w:pPr>
        <w:pBdr>
          <w:bottom w:val="single" w:sz="12" w:space="1" w:color="auto"/>
        </w:pBdr>
        <w:spacing w:after="64"/>
        <w:ind w:left="120" w:right="20"/>
        <w:jc w:val="both"/>
        <w:rPr>
          <w:sz w:val="28"/>
          <w:szCs w:val="28"/>
        </w:rPr>
      </w:pPr>
      <w:r>
        <w:rPr>
          <w:sz w:val="28"/>
          <w:szCs w:val="28"/>
        </w:rPr>
        <w:t xml:space="preserve">       </w:t>
      </w:r>
      <w:r w:rsidRPr="00D11D6A">
        <w:rPr>
          <w:sz w:val="28"/>
          <w:szCs w:val="28"/>
        </w:rPr>
        <w:t xml:space="preserve">Фінансування видатків бюджету Малинської міської територіальної громади, міських цільових програм на період до 2028 року здійснюватиметься в рамках жорсткої економії бюджетних коштів. В цих умовах визначальним стане підвищення ефективності видатків, що відбуватиметься на основі їх пріоритетності та оцінки ступеня досягнення очікуваних результатів. </w:t>
      </w:r>
      <w:r>
        <w:rPr>
          <w:sz w:val="28"/>
          <w:szCs w:val="28"/>
        </w:rPr>
        <w:t xml:space="preserve"> </w:t>
      </w:r>
    </w:p>
    <w:p w:rsidR="00680D29" w:rsidRPr="00680D29" w:rsidRDefault="00680D29" w:rsidP="00CD45EC">
      <w:pPr>
        <w:spacing w:after="64"/>
        <w:ind w:left="120" w:right="20"/>
        <w:jc w:val="both"/>
        <w:rPr>
          <w:i/>
          <w:sz w:val="28"/>
          <w:szCs w:val="28"/>
        </w:rPr>
      </w:pPr>
      <w:r w:rsidRPr="00680D29">
        <w:rPr>
          <w:i/>
          <w:sz w:val="28"/>
          <w:szCs w:val="28"/>
        </w:rPr>
        <w:t>Лариса НЕДАШКІВСЬКА, заступник начальника управління фінансів,            096-894-40-57</w:t>
      </w:r>
      <w:bookmarkStart w:id="0" w:name="_GoBack"/>
      <w:bookmarkEnd w:id="0"/>
    </w:p>
    <w:p w:rsidR="00734338" w:rsidRPr="006E13C5" w:rsidRDefault="00734338" w:rsidP="00CD45EC">
      <w:pPr>
        <w:spacing w:after="64"/>
        <w:ind w:left="120" w:right="20"/>
        <w:jc w:val="both"/>
        <w:rPr>
          <w:sz w:val="28"/>
          <w:szCs w:val="28"/>
        </w:rPr>
      </w:pPr>
      <w:r>
        <w:rPr>
          <w:sz w:val="28"/>
          <w:szCs w:val="28"/>
        </w:rPr>
        <w:lastRenderedPageBreak/>
        <w:t xml:space="preserve">  </w:t>
      </w:r>
    </w:p>
    <w:sectPr w:rsidR="00734338" w:rsidRPr="006E13C5" w:rsidSect="00680D29">
      <w:pgSz w:w="11906" w:h="16838"/>
      <w:pgMar w:top="850" w:right="566"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106A17"/>
    <w:multiLevelType w:val="hybridMultilevel"/>
    <w:tmpl w:val="E3EC57C4"/>
    <w:lvl w:ilvl="0" w:tplc="0422000F">
      <w:start w:val="1"/>
      <w:numFmt w:val="decimal"/>
      <w:lvlText w:val="%1."/>
      <w:lvlJc w:val="left"/>
      <w:pPr>
        <w:ind w:left="3960" w:hanging="360"/>
      </w:pPr>
      <w:rPr>
        <w:rFonts w:cs="Times New Roman" w:hint="default"/>
      </w:rPr>
    </w:lvl>
    <w:lvl w:ilvl="1" w:tplc="04220019" w:tentative="1">
      <w:start w:val="1"/>
      <w:numFmt w:val="lowerLetter"/>
      <w:lvlText w:val="%2."/>
      <w:lvlJc w:val="left"/>
      <w:pPr>
        <w:ind w:left="4680" w:hanging="360"/>
      </w:pPr>
      <w:rPr>
        <w:rFonts w:cs="Times New Roman"/>
      </w:rPr>
    </w:lvl>
    <w:lvl w:ilvl="2" w:tplc="0422001B" w:tentative="1">
      <w:start w:val="1"/>
      <w:numFmt w:val="lowerRoman"/>
      <w:lvlText w:val="%3."/>
      <w:lvlJc w:val="right"/>
      <w:pPr>
        <w:ind w:left="5400" w:hanging="180"/>
      </w:pPr>
      <w:rPr>
        <w:rFonts w:cs="Times New Roman"/>
      </w:rPr>
    </w:lvl>
    <w:lvl w:ilvl="3" w:tplc="0422000F" w:tentative="1">
      <w:start w:val="1"/>
      <w:numFmt w:val="decimal"/>
      <w:lvlText w:val="%4."/>
      <w:lvlJc w:val="left"/>
      <w:pPr>
        <w:ind w:left="6120" w:hanging="360"/>
      </w:pPr>
      <w:rPr>
        <w:rFonts w:cs="Times New Roman"/>
      </w:rPr>
    </w:lvl>
    <w:lvl w:ilvl="4" w:tplc="04220019" w:tentative="1">
      <w:start w:val="1"/>
      <w:numFmt w:val="lowerLetter"/>
      <w:lvlText w:val="%5."/>
      <w:lvlJc w:val="left"/>
      <w:pPr>
        <w:ind w:left="6840" w:hanging="360"/>
      </w:pPr>
      <w:rPr>
        <w:rFonts w:cs="Times New Roman"/>
      </w:rPr>
    </w:lvl>
    <w:lvl w:ilvl="5" w:tplc="0422001B" w:tentative="1">
      <w:start w:val="1"/>
      <w:numFmt w:val="lowerRoman"/>
      <w:lvlText w:val="%6."/>
      <w:lvlJc w:val="right"/>
      <w:pPr>
        <w:ind w:left="7560" w:hanging="180"/>
      </w:pPr>
      <w:rPr>
        <w:rFonts w:cs="Times New Roman"/>
      </w:rPr>
    </w:lvl>
    <w:lvl w:ilvl="6" w:tplc="0422000F" w:tentative="1">
      <w:start w:val="1"/>
      <w:numFmt w:val="decimal"/>
      <w:lvlText w:val="%7."/>
      <w:lvlJc w:val="left"/>
      <w:pPr>
        <w:ind w:left="8280" w:hanging="360"/>
      </w:pPr>
      <w:rPr>
        <w:rFonts w:cs="Times New Roman"/>
      </w:rPr>
    </w:lvl>
    <w:lvl w:ilvl="7" w:tplc="04220019" w:tentative="1">
      <w:start w:val="1"/>
      <w:numFmt w:val="lowerLetter"/>
      <w:lvlText w:val="%8."/>
      <w:lvlJc w:val="left"/>
      <w:pPr>
        <w:ind w:left="9000" w:hanging="360"/>
      </w:pPr>
      <w:rPr>
        <w:rFonts w:cs="Times New Roman"/>
      </w:rPr>
    </w:lvl>
    <w:lvl w:ilvl="8" w:tplc="0422001B" w:tentative="1">
      <w:start w:val="1"/>
      <w:numFmt w:val="lowerRoman"/>
      <w:lvlText w:val="%9."/>
      <w:lvlJc w:val="right"/>
      <w:pPr>
        <w:ind w:left="97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51CA"/>
    <w:rsid w:val="0001452C"/>
    <w:rsid w:val="00171121"/>
    <w:rsid w:val="0019225B"/>
    <w:rsid w:val="002D226B"/>
    <w:rsid w:val="002E0786"/>
    <w:rsid w:val="003A687A"/>
    <w:rsid w:val="003E1C0D"/>
    <w:rsid w:val="00437E24"/>
    <w:rsid w:val="0057620F"/>
    <w:rsid w:val="005D238A"/>
    <w:rsid w:val="005D35C2"/>
    <w:rsid w:val="005D6703"/>
    <w:rsid w:val="00680D29"/>
    <w:rsid w:val="006E13C5"/>
    <w:rsid w:val="00734338"/>
    <w:rsid w:val="00762692"/>
    <w:rsid w:val="007C7E18"/>
    <w:rsid w:val="008151CA"/>
    <w:rsid w:val="008A62E4"/>
    <w:rsid w:val="008C66D5"/>
    <w:rsid w:val="00915C37"/>
    <w:rsid w:val="00B258F5"/>
    <w:rsid w:val="00B451A8"/>
    <w:rsid w:val="00B9641B"/>
    <w:rsid w:val="00BF6922"/>
    <w:rsid w:val="00C01254"/>
    <w:rsid w:val="00CD45EC"/>
    <w:rsid w:val="00D11D6A"/>
    <w:rsid w:val="00D30A4A"/>
    <w:rsid w:val="00D7146F"/>
    <w:rsid w:val="00D751C5"/>
    <w:rsid w:val="00DA06F8"/>
    <w:rsid w:val="00DA6C58"/>
    <w:rsid w:val="00E0107F"/>
    <w:rsid w:val="00E07B58"/>
    <w:rsid w:val="00E170F4"/>
    <w:rsid w:val="00EB2222"/>
    <w:rsid w:val="00EC3FA8"/>
    <w:rsid w:val="00F00BB4"/>
    <w:rsid w:val="00F57624"/>
    <w:rsid w:val="00FC2B20"/>
    <w:rsid w:val="00FF531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6E18998"/>
  <w15:docId w15:val="{423390BE-F587-4821-9738-6A231EA35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62E4"/>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Знак Знак Знак Знак Знак,Знак Знак Знак,Основний текст Знак Знак Знак,Основний текст Знак Знак Знак Знак,Основний текст Знак Знак Знак Знак Знак Знак Знак Знак Знак Знак,Знак Знак"/>
    <w:basedOn w:val="a"/>
    <w:link w:val="a4"/>
    <w:uiPriority w:val="99"/>
    <w:rsid w:val="00437E24"/>
    <w:pPr>
      <w:spacing w:before="120" w:after="120"/>
      <w:ind w:firstLine="709"/>
      <w:jc w:val="both"/>
    </w:pPr>
    <w:rPr>
      <w:lang w:eastAsia="ru-RU"/>
    </w:rPr>
  </w:style>
  <w:style w:type="character" w:customStyle="1" w:styleId="a4">
    <w:name w:val="Основной текст Знак"/>
    <w:aliases w:val="Знак Знак Знак Знак Знак Знак Знак,Знак Знак Знак Знак,Основний текст Знак Знак Знак Знак1,Основний текст Знак Знак Знак Знак Знак,Основний текст Знак Знак Знак Знак Знак Знак Знак Знак Знак Знак Знак,Знак Знак Знак1"/>
    <w:link w:val="a3"/>
    <w:uiPriority w:val="99"/>
    <w:locked/>
    <w:rsid w:val="00437E24"/>
    <w:rPr>
      <w:rFonts w:eastAsia="Times New Roman" w:cs="Times New Roman"/>
      <w:sz w:val="24"/>
      <w:szCs w:val="24"/>
      <w:lang w:eastAsia="ru-RU"/>
    </w:rPr>
  </w:style>
  <w:style w:type="paragraph" w:customStyle="1" w:styleId="Default">
    <w:name w:val="Default"/>
    <w:uiPriority w:val="99"/>
    <w:rsid w:val="00437E24"/>
    <w:pPr>
      <w:autoSpaceDE w:val="0"/>
      <w:autoSpaceDN w:val="0"/>
      <w:adjustRightInd w:val="0"/>
      <w:spacing w:after="200" w:line="276" w:lineRule="auto"/>
      <w:jc w:val="both"/>
    </w:pPr>
    <w:rPr>
      <w:rFonts w:ascii="Arial" w:hAnsi="Arial" w:cs="Arial"/>
      <w:color w:val="000000"/>
      <w:sz w:val="24"/>
      <w:szCs w:val="24"/>
      <w:lang w:eastAsia="en-US"/>
    </w:rPr>
  </w:style>
  <w:style w:type="character" w:customStyle="1" w:styleId="a5">
    <w:name w:val="Основний текст_"/>
    <w:link w:val="a6"/>
    <w:uiPriority w:val="99"/>
    <w:locked/>
    <w:rsid w:val="00437E24"/>
    <w:rPr>
      <w:rFonts w:cs="Times New Roman"/>
      <w:sz w:val="41"/>
      <w:szCs w:val="41"/>
      <w:shd w:val="clear" w:color="auto" w:fill="FFFFFF"/>
    </w:rPr>
  </w:style>
  <w:style w:type="character" w:customStyle="1" w:styleId="a7">
    <w:name w:val="Основний текст + Напівжирний"/>
    <w:uiPriority w:val="99"/>
    <w:rsid w:val="00437E24"/>
    <w:rPr>
      <w:rFonts w:cs="Times New Roman"/>
      <w:b/>
      <w:bCs/>
      <w:sz w:val="41"/>
      <w:szCs w:val="41"/>
      <w:shd w:val="clear" w:color="auto" w:fill="FFFFFF"/>
    </w:rPr>
  </w:style>
  <w:style w:type="paragraph" w:customStyle="1" w:styleId="a6">
    <w:name w:val="Основний текст"/>
    <w:basedOn w:val="a"/>
    <w:link w:val="a5"/>
    <w:uiPriority w:val="99"/>
    <w:rsid w:val="00437E24"/>
    <w:pPr>
      <w:shd w:val="clear" w:color="auto" w:fill="FFFFFF"/>
      <w:spacing w:before="480" w:after="480" w:line="480" w:lineRule="exact"/>
      <w:jc w:val="center"/>
    </w:pPr>
    <w:rPr>
      <w:sz w:val="41"/>
      <w:szCs w:val="41"/>
    </w:rPr>
  </w:style>
  <w:style w:type="paragraph" w:styleId="a8">
    <w:name w:val="List Paragraph"/>
    <w:basedOn w:val="a"/>
    <w:uiPriority w:val="99"/>
    <w:qFormat/>
    <w:rsid w:val="008C66D5"/>
    <w:pPr>
      <w:ind w:left="720"/>
      <w:contextualSpacing/>
    </w:pPr>
  </w:style>
  <w:style w:type="paragraph" w:styleId="a9">
    <w:name w:val="Balloon Text"/>
    <w:basedOn w:val="a"/>
    <w:link w:val="aa"/>
    <w:uiPriority w:val="99"/>
    <w:semiHidden/>
    <w:rsid w:val="005D35C2"/>
    <w:rPr>
      <w:rFonts w:ascii="Tahoma" w:hAnsi="Tahoma" w:cs="Tahoma"/>
      <w:sz w:val="16"/>
      <w:szCs w:val="16"/>
    </w:rPr>
  </w:style>
  <w:style w:type="character" w:customStyle="1" w:styleId="aa">
    <w:name w:val="Текст выноски Знак"/>
    <w:link w:val="a9"/>
    <w:uiPriority w:val="99"/>
    <w:semiHidden/>
    <w:rsid w:val="00921B67"/>
    <w:rPr>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807</Words>
  <Characters>4606</Characters>
  <Application>Microsoft Office Word</Application>
  <DocSecurity>0</DocSecurity>
  <Lines>38</Lines>
  <Paragraphs>10</Paragraphs>
  <ScaleCrop>false</ScaleCrop>
  <Company>Reanimator Extreme Edition</Company>
  <LinksUpToDate>false</LinksUpToDate>
  <CharactersWithSpaces>5403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user</cp:lastModifiedBy>
  <cp:revision>9</cp:revision>
  <cp:lastPrinted>2025-08-29T08:02:00Z</cp:lastPrinted>
  <dcterms:created xsi:type="dcterms:W3CDTF">2025-08-29T07:09:00Z</dcterms:created>
  <dcterms:modified xsi:type="dcterms:W3CDTF">2025-08-29T08:34:00Z</dcterms:modified>
</cp:coreProperties>
</file>